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213D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E40CF8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766CBAF" w14:textId="1A0E262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53575">
        <w:rPr>
          <w:rFonts w:ascii="Arial" w:hAnsi="Arial" w:cs="Arial"/>
          <w:b/>
        </w:rPr>
        <w:t>Eš</w:t>
      </w:r>
    </w:p>
    <w:p w14:paraId="7DA0C2CA" w14:textId="243E5A4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10C9F">
        <w:rPr>
          <w:rFonts w:ascii="Arial" w:hAnsi="Arial" w:cs="Arial"/>
          <w:b/>
        </w:rPr>
        <w:t>Eš</w:t>
      </w:r>
    </w:p>
    <w:p w14:paraId="1B5DA92F" w14:textId="34933A6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10C9F">
        <w:rPr>
          <w:rFonts w:ascii="Arial" w:hAnsi="Arial" w:cs="Arial"/>
          <w:b/>
        </w:rPr>
        <w:t>Eš</w:t>
      </w:r>
      <w:r w:rsidRPr="002E0EAD">
        <w:rPr>
          <w:rFonts w:ascii="Arial" w:hAnsi="Arial" w:cs="Arial"/>
          <w:b/>
        </w:rPr>
        <w:t xml:space="preserve"> č. </w:t>
      </w:r>
      <w:r w:rsidR="00A10C9F">
        <w:rPr>
          <w:rFonts w:ascii="Arial" w:hAnsi="Arial" w:cs="Arial"/>
          <w:b/>
        </w:rPr>
        <w:t>1</w:t>
      </w:r>
      <w:r w:rsidR="00AF44CE">
        <w:rPr>
          <w:rFonts w:ascii="Arial" w:hAnsi="Arial" w:cs="Arial"/>
          <w:b/>
        </w:rPr>
        <w:t>/202</w:t>
      </w:r>
      <w:r w:rsidR="007504C2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,</w:t>
      </w:r>
    </w:p>
    <w:p w14:paraId="733035D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1B8E0A57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32F7D0E" w14:textId="52DD8F6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504C2">
        <w:rPr>
          <w:rFonts w:ascii="Arial" w:hAnsi="Arial" w:cs="Arial"/>
          <w:b w:val="0"/>
          <w:sz w:val="22"/>
          <w:szCs w:val="22"/>
        </w:rPr>
        <w:t>Eš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7504C2">
        <w:rPr>
          <w:rFonts w:ascii="Arial" w:hAnsi="Arial" w:cs="Arial"/>
          <w:b w:val="0"/>
          <w:sz w:val="22"/>
          <w:szCs w:val="22"/>
        </w:rPr>
        <w:t>xx</w:t>
      </w:r>
      <w:r w:rsidR="00E41261">
        <w:rPr>
          <w:rFonts w:ascii="Arial" w:hAnsi="Arial" w:cs="Arial"/>
          <w:b w:val="0"/>
          <w:sz w:val="22"/>
          <w:szCs w:val="22"/>
        </w:rPr>
        <w:t>.</w:t>
      </w:r>
      <w:r w:rsidR="007504C2">
        <w:rPr>
          <w:rFonts w:ascii="Arial" w:hAnsi="Arial" w:cs="Arial"/>
          <w:b w:val="0"/>
          <w:sz w:val="22"/>
          <w:szCs w:val="22"/>
        </w:rPr>
        <w:t>5</w:t>
      </w:r>
      <w:r w:rsidR="00E41261">
        <w:rPr>
          <w:rFonts w:ascii="Arial" w:hAnsi="Arial" w:cs="Arial"/>
          <w:b w:val="0"/>
          <w:sz w:val="22"/>
          <w:szCs w:val="22"/>
        </w:rPr>
        <w:t>.202</w:t>
      </w:r>
      <w:r w:rsidR="007504C2">
        <w:rPr>
          <w:rFonts w:ascii="Arial" w:hAnsi="Arial" w:cs="Arial"/>
          <w:b w:val="0"/>
          <w:sz w:val="22"/>
          <w:szCs w:val="22"/>
        </w:rPr>
        <w:t>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proofErr w:type="spellStart"/>
      <w:r w:rsidR="007504C2">
        <w:rPr>
          <w:rFonts w:ascii="Arial" w:hAnsi="Arial" w:cs="Arial"/>
          <w:b w:val="0"/>
          <w:sz w:val="22"/>
          <w:szCs w:val="22"/>
        </w:rPr>
        <w:t>xx</w:t>
      </w:r>
      <w:proofErr w:type="spellEnd"/>
      <w:r w:rsidR="00E41261">
        <w:rPr>
          <w:rFonts w:ascii="Arial" w:hAnsi="Arial" w:cs="Arial"/>
          <w:b w:val="0"/>
          <w:sz w:val="22"/>
          <w:szCs w:val="22"/>
        </w:rPr>
        <w:t>/2</w:t>
      </w:r>
      <w:r w:rsidR="007504C2">
        <w:rPr>
          <w:rFonts w:ascii="Arial" w:hAnsi="Arial" w:cs="Arial"/>
          <w:b w:val="0"/>
          <w:sz w:val="22"/>
          <w:szCs w:val="22"/>
        </w:rPr>
        <w:t>3</w:t>
      </w:r>
      <w:r w:rsidR="00896068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FDD469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6E929A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9EED01E" w14:textId="50959F09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504C2">
        <w:rPr>
          <w:rFonts w:ascii="Arial" w:hAnsi="Arial" w:cs="Arial"/>
          <w:sz w:val="22"/>
          <w:szCs w:val="22"/>
        </w:rPr>
        <w:t>Eš</w:t>
      </w:r>
      <w:r w:rsidR="00E41261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</w:t>
      </w:r>
      <w:r w:rsidR="00D738D7">
        <w:rPr>
          <w:rFonts w:ascii="Arial" w:hAnsi="Arial" w:cs="Arial"/>
          <w:sz w:val="22"/>
          <w:szCs w:val="22"/>
        </w:rPr>
        <w:t>provoz systému shromažďování, sběru, přepravy, třídění a odstraňování</w:t>
      </w:r>
      <w:r w:rsidR="00C63031" w:rsidRPr="00C63031">
        <w:rPr>
          <w:rFonts w:ascii="Arial" w:hAnsi="Arial" w:cs="Arial"/>
          <w:sz w:val="22"/>
          <w:szCs w:val="22"/>
        </w:rPr>
        <w:t xml:space="preserve"> komunální</w:t>
      </w:r>
      <w:r w:rsidR="00D738D7">
        <w:rPr>
          <w:rFonts w:ascii="Arial" w:hAnsi="Arial" w:cs="Arial"/>
          <w:sz w:val="22"/>
          <w:szCs w:val="22"/>
        </w:rPr>
        <w:t>ch</w:t>
      </w:r>
      <w:r w:rsidR="00C63031" w:rsidRPr="00C63031">
        <w:rPr>
          <w:rFonts w:ascii="Arial" w:hAnsi="Arial" w:cs="Arial"/>
          <w:sz w:val="22"/>
          <w:szCs w:val="22"/>
        </w:rPr>
        <w:t xml:space="preserve"> odpad</w:t>
      </w:r>
      <w:r w:rsidR="00D738D7">
        <w:rPr>
          <w:rFonts w:ascii="Arial" w:hAnsi="Arial" w:cs="Arial"/>
          <w:sz w:val="22"/>
          <w:szCs w:val="22"/>
        </w:rPr>
        <w:t>ů</w:t>
      </w:r>
      <w:r w:rsidR="00C63031" w:rsidRPr="00C63031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6EA2540" w14:textId="55B92034" w:rsidR="00D738D7" w:rsidRPr="00D738D7" w:rsidRDefault="007165A1" w:rsidP="00CA486F">
      <w:pPr>
        <w:numPr>
          <w:ilvl w:val="0"/>
          <w:numId w:val="1"/>
        </w:numPr>
        <w:spacing w:before="480" w:line="288" w:lineRule="auto"/>
        <w:jc w:val="both"/>
        <w:rPr>
          <w:rFonts w:ascii="Arial" w:hAnsi="Arial" w:cs="Arial"/>
        </w:rPr>
      </w:pPr>
      <w:r w:rsidRPr="00D738D7">
        <w:rPr>
          <w:rFonts w:ascii="Arial" w:hAnsi="Arial" w:cs="Arial"/>
          <w:sz w:val="22"/>
          <w:szCs w:val="22"/>
        </w:rPr>
        <w:t xml:space="preserve">Správcem poplatku je </w:t>
      </w:r>
      <w:r w:rsidR="007504C2" w:rsidRPr="00D738D7">
        <w:rPr>
          <w:rFonts w:ascii="Arial" w:hAnsi="Arial" w:cs="Arial"/>
          <w:sz w:val="22"/>
          <w:szCs w:val="22"/>
        </w:rPr>
        <w:t>Obec</w:t>
      </w:r>
      <w:r w:rsidR="00D738D7" w:rsidRPr="00D738D7">
        <w:rPr>
          <w:rFonts w:ascii="Arial" w:hAnsi="Arial" w:cs="Arial"/>
          <w:sz w:val="22"/>
          <w:szCs w:val="22"/>
        </w:rPr>
        <w:t>ní úřad</w:t>
      </w:r>
      <w:r w:rsidR="007504C2" w:rsidRPr="00D738D7">
        <w:rPr>
          <w:rFonts w:ascii="Arial" w:hAnsi="Arial" w:cs="Arial"/>
          <w:sz w:val="22"/>
          <w:szCs w:val="22"/>
        </w:rPr>
        <w:t xml:space="preserve"> Eš</w:t>
      </w:r>
      <w:r w:rsidR="00D738D7">
        <w:rPr>
          <w:rFonts w:ascii="Arial" w:hAnsi="Arial" w:cs="Arial"/>
          <w:sz w:val="22"/>
          <w:szCs w:val="22"/>
        </w:rPr>
        <w:t xml:space="preserve"> (dále jen „správce poplatku“)</w:t>
      </w:r>
      <w:r w:rsidR="00AF44CE" w:rsidRPr="00D738D7">
        <w:rPr>
          <w:rFonts w:ascii="Arial" w:hAnsi="Arial" w:cs="Arial"/>
          <w:sz w:val="22"/>
          <w:szCs w:val="22"/>
        </w:rPr>
        <w:t>.</w:t>
      </w:r>
      <w:r w:rsidR="00D738D7">
        <w:rPr>
          <w:rFonts w:ascii="Arial" w:hAnsi="Arial" w:cs="Arial"/>
          <w:sz w:val="22"/>
          <w:szCs w:val="22"/>
        </w:rPr>
        <w:t xml:space="preserve"> </w:t>
      </w:r>
    </w:p>
    <w:p w14:paraId="1F18F206" w14:textId="762D678B" w:rsidR="00131160" w:rsidRPr="00D738D7" w:rsidRDefault="00131160" w:rsidP="00D738D7">
      <w:pPr>
        <w:spacing w:before="480" w:line="288" w:lineRule="auto"/>
        <w:ind w:left="567"/>
        <w:jc w:val="center"/>
        <w:rPr>
          <w:rFonts w:ascii="Arial" w:hAnsi="Arial" w:cs="Arial"/>
          <w:b/>
          <w:bCs/>
        </w:rPr>
      </w:pPr>
      <w:r w:rsidRPr="00D738D7">
        <w:rPr>
          <w:rFonts w:ascii="Arial" w:hAnsi="Arial" w:cs="Arial"/>
          <w:b/>
          <w:bCs/>
        </w:rPr>
        <w:t>Čl. 2</w:t>
      </w:r>
    </w:p>
    <w:p w14:paraId="1B099F15" w14:textId="111D8B4B" w:rsidR="00131160" w:rsidRPr="002E0EAD" w:rsidRDefault="00D738D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14:paraId="5B28A65E" w14:textId="701B6DF5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</w:p>
    <w:p w14:paraId="418357C3" w14:textId="0C140B3D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72736A">
        <w:rPr>
          <w:rFonts w:ascii="Arial" w:hAnsi="Arial" w:cs="Arial"/>
          <w:sz w:val="22"/>
          <w:szCs w:val="22"/>
        </w:rPr>
        <w:t>:</w:t>
      </w:r>
    </w:p>
    <w:p w14:paraId="66CAB818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6ACB2C38" w14:textId="77777777" w:rsidR="0072736A" w:rsidRDefault="0072736A" w:rsidP="00727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0309D">
        <w:rPr>
          <w:sz w:val="22"/>
          <w:szCs w:val="22"/>
        </w:rPr>
        <w:t xml:space="preserve">b) </w:t>
      </w:r>
      <w:r>
        <w:rPr>
          <w:sz w:val="22"/>
          <w:szCs w:val="22"/>
        </w:rPr>
        <w:t>fyzická osoba, které byl podle zákona upravujícího pobyt cizinců na území ČR</w:t>
      </w:r>
    </w:p>
    <w:p w14:paraId="15707E5B" w14:textId="17AC1C3D" w:rsidR="0072736A" w:rsidRDefault="0072736A" w:rsidP="00727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povolen trvalý nebo přechodný pobyt na dobu delší než 90 dnů</w:t>
      </w:r>
    </w:p>
    <w:p w14:paraId="6050C1B6" w14:textId="77777777" w:rsidR="0072736A" w:rsidRDefault="0072736A" w:rsidP="00727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c) fyzická osoba, která má ve vlastnictví stavbu určenou k individuální rekreaci, byt </w:t>
      </w:r>
    </w:p>
    <w:p w14:paraId="3BA8CF82" w14:textId="34F6E160" w:rsidR="0072736A" w:rsidRDefault="0072736A" w:rsidP="00727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nebo rodinný dům, ve kterém není hlášena k pobytu žádná osoba, a to ve výši</w:t>
      </w:r>
    </w:p>
    <w:p w14:paraId="2DC54213" w14:textId="1096ACB8" w:rsidR="0072736A" w:rsidRDefault="0072736A" w:rsidP="00727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odpovídající poplatku za jednu fyzickou osobu; má-li ke stavbě určené k individuální</w:t>
      </w:r>
    </w:p>
    <w:p w14:paraId="27C5E47D" w14:textId="77777777" w:rsidR="0072736A" w:rsidRDefault="0072736A" w:rsidP="00727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rekreaci, bytu nebo rodinnému domu vlastnické právo více osob, jsou povinny platit</w:t>
      </w:r>
    </w:p>
    <w:p w14:paraId="0A054BE9" w14:textId="739F619B" w:rsidR="0010309D" w:rsidRDefault="0072736A" w:rsidP="00727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poplatek společně a nerozdílně.      </w:t>
      </w:r>
    </w:p>
    <w:p w14:paraId="083DDF4C" w14:textId="7CEE59F8" w:rsidR="00A93CB2" w:rsidRPr="0072736A" w:rsidRDefault="0072736A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Osoby, které platí poplatek za více fyzických osob, jsou povinny správci poplatku oznámit jméno, popř. jména osob za které poplatek plat</w:t>
      </w:r>
      <w:r w:rsidR="000D0606">
        <w:rPr>
          <w:rFonts w:ascii="Arial" w:hAnsi="Arial" w:cs="Arial"/>
          <w:sz w:val="22"/>
          <w:szCs w:val="22"/>
        </w:rPr>
        <w:t>í.</w:t>
      </w:r>
    </w:p>
    <w:p w14:paraId="4AAC02FE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3E18DE9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B207EBA" w14:textId="1476E789" w:rsidR="00716519" w:rsidRDefault="00D738D7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C874B5">
        <w:rPr>
          <w:rFonts w:ascii="Arial" w:hAnsi="Arial" w:cs="Arial"/>
          <w:sz w:val="22"/>
          <w:szCs w:val="22"/>
        </w:rPr>
        <w:t xml:space="preserve"> </w:t>
      </w:r>
      <w:r w:rsidR="00716519">
        <w:rPr>
          <w:rFonts w:ascii="Arial" w:hAnsi="Arial" w:cs="Arial"/>
          <w:sz w:val="22"/>
          <w:szCs w:val="22"/>
        </w:rPr>
        <w:t xml:space="preserve">je povinen </w:t>
      </w:r>
      <w:r>
        <w:rPr>
          <w:rFonts w:ascii="Arial" w:hAnsi="Arial" w:cs="Arial"/>
          <w:sz w:val="22"/>
          <w:szCs w:val="22"/>
        </w:rPr>
        <w:t>ohlásit</w:t>
      </w:r>
      <w:r w:rsidR="00716519">
        <w:rPr>
          <w:rFonts w:ascii="Arial" w:hAnsi="Arial" w:cs="Arial"/>
          <w:sz w:val="22"/>
          <w:szCs w:val="22"/>
        </w:rPr>
        <w:t xml:space="preserve"> </w:t>
      </w:r>
      <w:r w:rsidR="00716519" w:rsidRPr="00392C27">
        <w:rPr>
          <w:rFonts w:ascii="Arial" w:hAnsi="Arial" w:cs="Arial"/>
          <w:sz w:val="22"/>
          <w:szCs w:val="22"/>
        </w:rPr>
        <w:t xml:space="preserve">správci poplatku </w:t>
      </w:r>
      <w:r>
        <w:rPr>
          <w:rFonts w:ascii="Arial" w:hAnsi="Arial" w:cs="Arial"/>
          <w:sz w:val="22"/>
          <w:szCs w:val="22"/>
        </w:rPr>
        <w:t xml:space="preserve">vznik své poplatkové povinnosti </w:t>
      </w:r>
      <w:r w:rsidR="00716519">
        <w:rPr>
          <w:rFonts w:ascii="Arial" w:hAnsi="Arial" w:cs="Arial"/>
          <w:sz w:val="22"/>
          <w:szCs w:val="22"/>
        </w:rPr>
        <w:t>nejpozději</w:t>
      </w:r>
      <w:r w:rsidR="00716519" w:rsidRPr="00392C27">
        <w:rPr>
          <w:rFonts w:ascii="Arial" w:hAnsi="Arial" w:cs="Arial"/>
          <w:sz w:val="22"/>
          <w:szCs w:val="22"/>
        </w:rPr>
        <w:t xml:space="preserve"> </w:t>
      </w:r>
      <w:r w:rsidR="00716519">
        <w:rPr>
          <w:rFonts w:ascii="Arial" w:hAnsi="Arial" w:cs="Arial"/>
          <w:sz w:val="22"/>
          <w:szCs w:val="22"/>
        </w:rPr>
        <w:t xml:space="preserve">do </w:t>
      </w:r>
      <w:r w:rsidR="00AF44CE">
        <w:rPr>
          <w:rFonts w:ascii="Arial" w:hAnsi="Arial" w:cs="Arial"/>
          <w:sz w:val="22"/>
          <w:szCs w:val="22"/>
        </w:rPr>
        <w:t>15</w:t>
      </w:r>
      <w:r w:rsidR="00716519" w:rsidRPr="00392C27">
        <w:rPr>
          <w:rFonts w:ascii="Arial" w:hAnsi="Arial" w:cs="Arial"/>
          <w:sz w:val="22"/>
          <w:szCs w:val="22"/>
        </w:rPr>
        <w:t xml:space="preserve"> dnů </w:t>
      </w:r>
      <w:r w:rsidR="00716519">
        <w:rPr>
          <w:rFonts w:ascii="Arial" w:hAnsi="Arial" w:cs="Arial"/>
          <w:sz w:val="22"/>
          <w:szCs w:val="22"/>
        </w:rPr>
        <w:t xml:space="preserve">ode dne, kdy </w:t>
      </w:r>
      <w:r>
        <w:rPr>
          <w:rFonts w:ascii="Arial" w:hAnsi="Arial" w:cs="Arial"/>
          <w:sz w:val="22"/>
          <w:szCs w:val="22"/>
        </w:rPr>
        <w:t>mu tato povinnost platit tento poplatek vznikla, případně doložit existenci skutečností zakládajících nárok na osvobození nebo úlevu od poplatku</w:t>
      </w:r>
      <w:r w:rsidR="00716519">
        <w:rPr>
          <w:rFonts w:ascii="Arial" w:hAnsi="Arial" w:cs="Arial"/>
          <w:sz w:val="22"/>
          <w:szCs w:val="22"/>
        </w:rPr>
        <w:t>.</w:t>
      </w:r>
    </w:p>
    <w:p w14:paraId="1430BF6B" w14:textId="651F217B" w:rsidR="00716519" w:rsidRDefault="000D0606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Poplatník dle čl. 2 odst. vyhlášky je povinen ohlásit správci poplatku jméno, popř. jména, místa pobytu, popř. další adresy pro doručování.</w:t>
      </w:r>
    </w:p>
    <w:p w14:paraId="1E34C6BA" w14:textId="47DB48C8" w:rsidR="000D0606" w:rsidRDefault="000D0606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</w:t>
      </w:r>
      <w:proofErr w:type="spellStart"/>
      <w:r>
        <w:rPr>
          <w:rFonts w:ascii="Arial" w:hAnsi="Arial" w:cs="Arial"/>
          <w:sz w:val="22"/>
          <w:szCs w:val="22"/>
        </w:rPr>
        <w:t>odst</w:t>
      </w:r>
      <w:proofErr w:type="spellEnd"/>
      <w:r>
        <w:rPr>
          <w:rFonts w:ascii="Arial" w:hAnsi="Arial" w:cs="Arial"/>
          <w:sz w:val="22"/>
          <w:szCs w:val="22"/>
        </w:rPr>
        <w:t xml:space="preserve"> 1 písm. c) vyhlášky je povinen ohlásit také evidenční nebo popisné číslo stavby určené k individuální rekreaci nebo rodinného domu; není-li stavba nebo dům označena evidenčním nebo popisným číslem, uvede poplatník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pozemku, na kterém je tato stavba umístěna. V případě bytu je poplatník povinen ohlásit orientační nebo popisné číslo stavby, ve které se byt nachází a číslo bytu, popř. popis umístění budovy, pokud nejsou byty očíslovány.</w:t>
      </w:r>
    </w:p>
    <w:p w14:paraId="5F1EC9EC" w14:textId="5975F050" w:rsidR="000D0606" w:rsidRDefault="000D0606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pobytu nebo v důsledku změny vlastnictví ke stavbě určené k individuální rekreaci, bytu nebo rodinnému domu.</w:t>
      </w:r>
    </w:p>
    <w:p w14:paraId="3737B899" w14:textId="77777777" w:rsidR="006633CD" w:rsidRDefault="000D0606" w:rsidP="006633CD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 ohlášení, je poplatník povinen tuto změnu oznámit do 15 dnů ode dne, kdy nastal</w:t>
      </w:r>
      <w:r w:rsidR="006633CD">
        <w:rPr>
          <w:rFonts w:ascii="Arial" w:hAnsi="Arial" w:cs="Arial"/>
          <w:sz w:val="22"/>
          <w:szCs w:val="22"/>
        </w:rPr>
        <w:t>a.</w:t>
      </w:r>
    </w:p>
    <w:p w14:paraId="3B528F15" w14:textId="77777777" w:rsidR="006633CD" w:rsidRDefault="006633CD" w:rsidP="006633CD">
      <w:pPr>
        <w:spacing w:before="120" w:line="312" w:lineRule="auto"/>
        <w:ind w:left="567"/>
        <w:jc w:val="both"/>
        <w:rPr>
          <w:rFonts w:ascii="Arial" w:hAnsi="Arial" w:cs="Arial"/>
        </w:rPr>
      </w:pPr>
    </w:p>
    <w:p w14:paraId="34F8FEBF" w14:textId="6BFF46F8" w:rsidR="006633CD" w:rsidRPr="006633CD" w:rsidRDefault="00330165" w:rsidP="006633CD">
      <w:pPr>
        <w:spacing w:before="120" w:line="312" w:lineRule="auto"/>
        <w:ind w:left="567"/>
        <w:jc w:val="center"/>
        <w:rPr>
          <w:rFonts w:ascii="Arial" w:hAnsi="Arial" w:cs="Arial"/>
          <w:b/>
          <w:bCs/>
        </w:rPr>
      </w:pPr>
      <w:r w:rsidRPr="006633CD">
        <w:rPr>
          <w:rFonts w:ascii="Arial" w:hAnsi="Arial" w:cs="Arial"/>
          <w:b/>
          <w:bCs/>
        </w:rPr>
        <w:t xml:space="preserve">Čl. </w:t>
      </w:r>
      <w:r w:rsidR="000D0606" w:rsidRPr="006633CD">
        <w:rPr>
          <w:rFonts w:ascii="Arial" w:hAnsi="Arial" w:cs="Arial"/>
          <w:b/>
          <w:bCs/>
        </w:rPr>
        <w:t>4</w:t>
      </w:r>
    </w:p>
    <w:p w14:paraId="5E0BBFC4" w14:textId="77777777" w:rsidR="006633CD" w:rsidRDefault="00330165" w:rsidP="006633CD">
      <w:pPr>
        <w:spacing w:before="120" w:line="312" w:lineRule="auto"/>
        <w:ind w:left="567"/>
        <w:jc w:val="center"/>
        <w:rPr>
          <w:rFonts w:ascii="Arial" w:hAnsi="Arial" w:cs="Arial"/>
          <w:b/>
          <w:bCs/>
        </w:rPr>
      </w:pPr>
      <w:r w:rsidRPr="006633CD">
        <w:rPr>
          <w:rFonts w:ascii="Arial" w:hAnsi="Arial" w:cs="Arial"/>
          <w:b/>
          <w:bCs/>
        </w:rPr>
        <w:t>Sazba poplatku</w:t>
      </w:r>
    </w:p>
    <w:p w14:paraId="7600A60F" w14:textId="77777777" w:rsidR="006633CD" w:rsidRDefault="002753FB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D3B8B" w:rsidRPr="006633CD">
        <w:rPr>
          <w:rFonts w:ascii="Arial" w:hAnsi="Arial" w:cs="Arial"/>
          <w:sz w:val="22"/>
          <w:szCs w:val="22"/>
        </w:rPr>
        <w:t>Sazba poplatku činí</w:t>
      </w:r>
      <w:r w:rsidR="009D3B8B" w:rsidRPr="009D3B8B">
        <w:rPr>
          <w:rFonts w:ascii="Arial" w:hAnsi="Arial" w:cs="Arial"/>
          <w:b/>
          <w:bCs/>
          <w:sz w:val="22"/>
          <w:szCs w:val="22"/>
        </w:rPr>
        <w:t xml:space="preserve"> </w:t>
      </w:r>
      <w:r w:rsidR="009D3B8B" w:rsidRPr="006633CD">
        <w:rPr>
          <w:rFonts w:ascii="Arial" w:hAnsi="Arial" w:cs="Arial"/>
          <w:b/>
          <w:bCs/>
          <w:sz w:val="22"/>
          <w:szCs w:val="22"/>
        </w:rPr>
        <w:t xml:space="preserve">500 </w:t>
      </w:r>
      <w:proofErr w:type="gramStart"/>
      <w:r w:rsidR="009D3B8B" w:rsidRPr="006633CD">
        <w:rPr>
          <w:rFonts w:ascii="Arial" w:hAnsi="Arial" w:cs="Arial"/>
          <w:b/>
          <w:bCs/>
          <w:sz w:val="22"/>
          <w:szCs w:val="22"/>
        </w:rPr>
        <w:t>Kč</w:t>
      </w:r>
      <w:r w:rsidR="009D3B8B" w:rsidRPr="009D3B8B">
        <w:rPr>
          <w:rFonts w:ascii="Arial" w:hAnsi="Arial" w:cs="Arial"/>
          <w:b/>
          <w:bCs/>
          <w:sz w:val="22"/>
          <w:szCs w:val="22"/>
        </w:rPr>
        <w:t xml:space="preserve">  </w:t>
      </w:r>
      <w:r w:rsidR="009D3B8B" w:rsidRPr="006633CD">
        <w:rPr>
          <w:rFonts w:ascii="Arial" w:hAnsi="Arial" w:cs="Arial"/>
          <w:sz w:val="22"/>
          <w:szCs w:val="22"/>
        </w:rPr>
        <w:t>a</w:t>
      </w:r>
      <w:proofErr w:type="gramEnd"/>
      <w:r w:rsidR="009D3B8B" w:rsidRPr="006633CD">
        <w:rPr>
          <w:rFonts w:ascii="Arial" w:hAnsi="Arial" w:cs="Arial"/>
          <w:sz w:val="22"/>
          <w:szCs w:val="22"/>
        </w:rPr>
        <w:t xml:space="preserve"> je tvořena:</w:t>
      </w:r>
    </w:p>
    <w:p w14:paraId="0B825561" w14:textId="77777777" w:rsidR="006633CD" w:rsidRDefault="006633CD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6633CD">
        <w:rPr>
          <w:rFonts w:ascii="Arial" w:hAnsi="Arial" w:cs="Arial"/>
          <w:sz w:val="22"/>
          <w:szCs w:val="22"/>
        </w:rPr>
        <w:t xml:space="preserve">       </w:t>
      </w:r>
      <w:r w:rsidR="009D3B8B" w:rsidRPr="006633CD">
        <w:rPr>
          <w:rFonts w:ascii="Arial" w:hAnsi="Arial" w:cs="Arial"/>
          <w:sz w:val="22"/>
          <w:szCs w:val="22"/>
        </w:rPr>
        <w:t>a)</w:t>
      </w:r>
      <w:r w:rsidR="009D3B8B" w:rsidRPr="006633CD">
        <w:rPr>
          <w:rFonts w:ascii="Arial" w:hAnsi="Arial" w:cs="Arial"/>
          <w:b/>
          <w:bCs/>
          <w:sz w:val="22"/>
          <w:szCs w:val="22"/>
        </w:rPr>
        <w:t xml:space="preserve">   </w:t>
      </w:r>
      <w:r w:rsidR="009D3B8B" w:rsidRPr="006633CD">
        <w:rPr>
          <w:rFonts w:ascii="Arial" w:hAnsi="Arial" w:cs="Arial"/>
          <w:sz w:val="22"/>
          <w:szCs w:val="22"/>
        </w:rPr>
        <w:t>z částky</w:t>
      </w:r>
      <w:r w:rsidR="009D3B8B" w:rsidRPr="006633CD">
        <w:rPr>
          <w:rFonts w:ascii="Arial" w:hAnsi="Arial" w:cs="Arial"/>
          <w:b/>
          <w:bCs/>
          <w:sz w:val="22"/>
          <w:szCs w:val="22"/>
        </w:rPr>
        <w:t xml:space="preserve"> 100 Kč </w:t>
      </w:r>
      <w:r w:rsidR="009D3B8B" w:rsidRPr="006633CD">
        <w:rPr>
          <w:rFonts w:ascii="Arial" w:hAnsi="Arial" w:cs="Arial"/>
          <w:sz w:val="22"/>
          <w:szCs w:val="22"/>
        </w:rPr>
        <w:t>za kalendářní rok a</w:t>
      </w:r>
    </w:p>
    <w:p w14:paraId="09714E5A" w14:textId="77777777" w:rsidR="006633CD" w:rsidRDefault="006633CD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D3B8B" w:rsidRPr="006633CD">
        <w:rPr>
          <w:rFonts w:ascii="Arial" w:hAnsi="Arial" w:cs="Arial"/>
          <w:sz w:val="22"/>
          <w:szCs w:val="22"/>
        </w:rPr>
        <w:t>b)   z částky</w:t>
      </w:r>
      <w:r w:rsidR="009D3B8B" w:rsidRPr="009D3B8B">
        <w:rPr>
          <w:rFonts w:ascii="Arial" w:hAnsi="Arial" w:cs="Arial"/>
          <w:b/>
          <w:bCs/>
          <w:sz w:val="22"/>
          <w:szCs w:val="22"/>
        </w:rPr>
        <w:t xml:space="preserve"> </w:t>
      </w:r>
      <w:r w:rsidR="009D3B8B" w:rsidRPr="006633CD">
        <w:rPr>
          <w:rFonts w:ascii="Arial" w:hAnsi="Arial" w:cs="Arial"/>
          <w:b/>
          <w:bCs/>
          <w:sz w:val="22"/>
          <w:szCs w:val="22"/>
        </w:rPr>
        <w:t>400 K</w:t>
      </w:r>
      <w:r w:rsidR="009D3B8B" w:rsidRPr="009D3B8B">
        <w:rPr>
          <w:rFonts w:ascii="Arial" w:hAnsi="Arial" w:cs="Arial"/>
          <w:sz w:val="22"/>
          <w:szCs w:val="22"/>
        </w:rPr>
        <w:t>č</w:t>
      </w:r>
      <w:r w:rsidR="009D3B8B" w:rsidRPr="009D3B8B">
        <w:rPr>
          <w:rFonts w:ascii="Arial" w:hAnsi="Arial" w:cs="Arial"/>
          <w:b/>
          <w:bCs/>
          <w:sz w:val="22"/>
          <w:szCs w:val="22"/>
        </w:rPr>
        <w:t xml:space="preserve"> </w:t>
      </w:r>
      <w:r w:rsidR="009D3B8B" w:rsidRPr="006633CD">
        <w:rPr>
          <w:rFonts w:ascii="Arial" w:hAnsi="Arial" w:cs="Arial"/>
          <w:sz w:val="22"/>
          <w:szCs w:val="22"/>
        </w:rPr>
        <w:t>za kalendářní rok. Tato částka je stanovena na základě skutečných nákladů obce předchozího kalendářního roku za sběr a svoz netříděného komunálního odpadu za poplatníka a kalendářní rok.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1B204231" w14:textId="77777777" w:rsidR="006633CD" w:rsidRDefault="006633CD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1F987F58" w14:textId="77777777" w:rsidR="006633CD" w:rsidRDefault="009D3B8B" w:rsidP="006633CD">
      <w:pPr>
        <w:spacing w:before="120" w:line="312" w:lineRule="auto"/>
        <w:jc w:val="center"/>
        <w:rPr>
          <w:rFonts w:ascii="Arial" w:hAnsi="Arial" w:cs="Arial"/>
          <w:b/>
          <w:bCs/>
        </w:rPr>
      </w:pPr>
      <w:r w:rsidRPr="006633CD">
        <w:rPr>
          <w:rFonts w:ascii="Arial" w:hAnsi="Arial" w:cs="Arial"/>
          <w:b/>
          <w:bCs/>
        </w:rPr>
        <w:t>Čl. 5</w:t>
      </w:r>
      <w:r w:rsidR="006633CD" w:rsidRPr="006633C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Pr="006633CD">
        <w:rPr>
          <w:rFonts w:ascii="Arial" w:hAnsi="Arial" w:cs="Arial"/>
          <w:b/>
          <w:bCs/>
        </w:rPr>
        <w:t>Splatnost poplatku</w:t>
      </w:r>
    </w:p>
    <w:p w14:paraId="7C39348A" w14:textId="7EFBEB06" w:rsidR="006633CD" w:rsidRPr="006633CD" w:rsidRDefault="009D3B8B" w:rsidP="006633CD">
      <w:pPr>
        <w:spacing w:before="120" w:line="312" w:lineRule="auto"/>
        <w:rPr>
          <w:rFonts w:ascii="Arial" w:hAnsi="Arial" w:cs="Arial"/>
          <w:b/>
          <w:bCs/>
        </w:rPr>
      </w:pPr>
      <w:r w:rsidRPr="006633CD">
        <w:rPr>
          <w:rFonts w:ascii="Arial" w:hAnsi="Arial" w:cs="Arial"/>
        </w:rPr>
        <w:t xml:space="preserve">(1)   </w:t>
      </w:r>
      <w:r w:rsidRPr="006633CD">
        <w:rPr>
          <w:rFonts w:ascii="Arial" w:hAnsi="Arial" w:cs="Arial"/>
          <w:sz w:val="22"/>
          <w:szCs w:val="22"/>
        </w:rPr>
        <w:t xml:space="preserve">Poplatek je splatný </w:t>
      </w:r>
      <w:proofErr w:type="gramStart"/>
      <w:r w:rsidRPr="006633CD">
        <w:rPr>
          <w:rFonts w:ascii="Arial" w:hAnsi="Arial" w:cs="Arial"/>
          <w:sz w:val="22"/>
          <w:szCs w:val="22"/>
        </w:rPr>
        <w:t>jednorázově</w:t>
      </w:r>
      <w:proofErr w:type="gramEnd"/>
      <w:r w:rsidRPr="006633CD">
        <w:rPr>
          <w:rFonts w:ascii="Arial" w:hAnsi="Arial" w:cs="Arial"/>
          <w:sz w:val="22"/>
          <w:szCs w:val="22"/>
        </w:rPr>
        <w:t xml:space="preserve"> a to nejpozději do </w:t>
      </w:r>
      <w:r w:rsidRPr="006633CD">
        <w:rPr>
          <w:rFonts w:ascii="Arial" w:hAnsi="Arial" w:cs="Arial"/>
          <w:b/>
          <w:bCs/>
          <w:sz w:val="22"/>
          <w:szCs w:val="22"/>
        </w:rPr>
        <w:t>31.5</w:t>
      </w:r>
      <w:r w:rsidRPr="006633CD">
        <w:rPr>
          <w:rFonts w:ascii="Arial" w:hAnsi="Arial" w:cs="Arial"/>
          <w:sz w:val="22"/>
          <w:szCs w:val="22"/>
        </w:rPr>
        <w:t>. kalendářního rok</w:t>
      </w:r>
    </w:p>
    <w:p w14:paraId="1C513AEA" w14:textId="77777777" w:rsidR="006633CD" w:rsidRDefault="009D3B8B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6633CD">
        <w:rPr>
          <w:rFonts w:ascii="Arial" w:hAnsi="Arial" w:cs="Arial"/>
          <w:sz w:val="22"/>
          <w:szCs w:val="22"/>
        </w:rPr>
        <w:t xml:space="preserve">2)    </w:t>
      </w:r>
      <w:r w:rsidR="002753FB" w:rsidRPr="006633CD">
        <w:rPr>
          <w:rFonts w:ascii="Arial" w:hAnsi="Arial" w:cs="Arial"/>
          <w:sz w:val="22"/>
          <w:szCs w:val="22"/>
        </w:rPr>
        <w:t>Vznikne-li poplatková povinnost po datu splatnosti uvedeném v odst. 1, je popla</w:t>
      </w:r>
      <w:r w:rsidR="006633CD" w:rsidRPr="006633CD">
        <w:rPr>
          <w:rFonts w:ascii="Arial" w:hAnsi="Arial" w:cs="Arial"/>
          <w:sz w:val="22"/>
          <w:szCs w:val="22"/>
        </w:rPr>
        <w:t xml:space="preserve">tek </w:t>
      </w:r>
      <w:r w:rsidR="002753FB" w:rsidRPr="006633CD">
        <w:rPr>
          <w:rFonts w:ascii="Arial" w:hAnsi="Arial" w:cs="Arial"/>
          <w:sz w:val="22"/>
          <w:szCs w:val="22"/>
        </w:rPr>
        <w:t xml:space="preserve">splatný nejpozději do 15. dne následujícího </w:t>
      </w:r>
      <w:proofErr w:type="gramStart"/>
      <w:r w:rsidR="002753FB" w:rsidRPr="006633CD">
        <w:rPr>
          <w:rFonts w:ascii="Arial" w:hAnsi="Arial" w:cs="Arial"/>
          <w:sz w:val="22"/>
          <w:szCs w:val="22"/>
        </w:rPr>
        <w:t>měsíce</w:t>
      </w:r>
      <w:proofErr w:type="gramEnd"/>
      <w:r w:rsidR="002753FB" w:rsidRPr="006633CD">
        <w:rPr>
          <w:rFonts w:ascii="Arial" w:hAnsi="Arial" w:cs="Arial"/>
          <w:sz w:val="22"/>
          <w:szCs w:val="22"/>
        </w:rPr>
        <w:t xml:space="preserve"> ve kterém poplatková povinnost vznikla.</w:t>
      </w:r>
    </w:p>
    <w:p w14:paraId="537DC657" w14:textId="77777777" w:rsidR="006633CD" w:rsidRDefault="006633CD" w:rsidP="006633CD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59C8CAD2" w14:textId="77777777" w:rsidR="006633CD" w:rsidRDefault="002753FB" w:rsidP="006633CD">
      <w:pPr>
        <w:spacing w:before="120" w:line="312" w:lineRule="auto"/>
        <w:jc w:val="center"/>
        <w:rPr>
          <w:rFonts w:ascii="Arial" w:hAnsi="Arial" w:cs="Arial"/>
          <w:b/>
          <w:bCs/>
        </w:rPr>
      </w:pPr>
      <w:r w:rsidRPr="006633CD">
        <w:rPr>
          <w:rFonts w:ascii="Arial" w:hAnsi="Arial" w:cs="Arial"/>
          <w:b/>
          <w:bCs/>
        </w:rPr>
        <w:t>Čl. 6</w:t>
      </w:r>
      <w:r w:rsidR="006633CD">
        <w:rPr>
          <w:rFonts w:ascii="Arial" w:hAnsi="Arial" w:cs="Arial"/>
          <w:b/>
          <w:bCs/>
        </w:rPr>
        <w:t>)</w:t>
      </w:r>
    </w:p>
    <w:p w14:paraId="20397AEF" w14:textId="77777777" w:rsidR="006633CD" w:rsidRDefault="002753FB" w:rsidP="006633CD">
      <w:pPr>
        <w:spacing w:before="120" w:line="312" w:lineRule="auto"/>
        <w:jc w:val="center"/>
        <w:rPr>
          <w:rFonts w:ascii="Arial" w:hAnsi="Arial" w:cs="Arial"/>
          <w:b/>
          <w:bCs/>
        </w:rPr>
      </w:pPr>
      <w:r w:rsidRPr="006633CD">
        <w:rPr>
          <w:rFonts w:ascii="Arial" w:hAnsi="Arial" w:cs="Arial"/>
          <w:b/>
          <w:bCs/>
        </w:rPr>
        <w:t>Osvobození a úlevy</w:t>
      </w:r>
    </w:p>
    <w:p w14:paraId="63335733" w14:textId="77777777" w:rsidR="006633CD" w:rsidRPr="006633CD" w:rsidRDefault="002753FB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6633CD">
        <w:rPr>
          <w:rFonts w:ascii="Arial" w:hAnsi="Arial" w:cs="Arial"/>
          <w:sz w:val="22"/>
          <w:szCs w:val="22"/>
        </w:rPr>
        <w:t xml:space="preserve">(1)     Od poplatku je osvobozena fyzická osoba dle čl. 2 odst. 1 písm. a), </w:t>
      </w:r>
    </w:p>
    <w:p w14:paraId="4E9FBAF1" w14:textId="30830B9B" w:rsidR="006633CD" w:rsidRDefault="006633CD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6633CD">
        <w:rPr>
          <w:rFonts w:ascii="Arial" w:hAnsi="Arial" w:cs="Arial"/>
          <w:sz w:val="22"/>
          <w:szCs w:val="22"/>
        </w:rPr>
        <w:t xml:space="preserve">a) </w:t>
      </w:r>
      <w:r w:rsidR="002753FB" w:rsidRPr="006633CD">
        <w:rPr>
          <w:rFonts w:ascii="Arial" w:hAnsi="Arial" w:cs="Arial"/>
          <w:sz w:val="22"/>
          <w:szCs w:val="22"/>
        </w:rPr>
        <w:t>která je</w:t>
      </w:r>
      <w:r w:rsidR="00FC0592">
        <w:rPr>
          <w:rFonts w:ascii="Arial" w:hAnsi="Arial" w:cs="Arial"/>
          <w:sz w:val="22"/>
          <w:szCs w:val="22"/>
        </w:rPr>
        <w:t xml:space="preserve"> </w:t>
      </w:r>
      <w:r w:rsidR="002753FB" w:rsidRPr="006633CD">
        <w:rPr>
          <w:rFonts w:ascii="Arial" w:hAnsi="Arial" w:cs="Arial"/>
          <w:sz w:val="22"/>
          <w:szCs w:val="22"/>
        </w:rPr>
        <w:t xml:space="preserve">umístěna do dětského domova pro děti do 3 </w:t>
      </w:r>
      <w:proofErr w:type="spellStart"/>
      <w:r w:rsidR="002753FB" w:rsidRPr="006633CD">
        <w:rPr>
          <w:rFonts w:ascii="Arial" w:hAnsi="Arial" w:cs="Arial"/>
          <w:sz w:val="22"/>
          <w:szCs w:val="22"/>
        </w:rPr>
        <w:t>lt</w:t>
      </w:r>
      <w:proofErr w:type="spellEnd"/>
      <w:r w:rsidR="002753FB" w:rsidRPr="006633CD">
        <w:rPr>
          <w:rFonts w:ascii="Arial" w:hAnsi="Arial" w:cs="Arial"/>
          <w:sz w:val="22"/>
          <w:szCs w:val="22"/>
        </w:rPr>
        <w:t xml:space="preserve"> věku, školského zařízení pro výkon </w:t>
      </w:r>
      <w:r>
        <w:rPr>
          <w:rFonts w:ascii="Arial" w:hAnsi="Arial" w:cs="Arial"/>
          <w:sz w:val="22"/>
          <w:szCs w:val="22"/>
        </w:rPr>
        <w:t xml:space="preserve">   </w:t>
      </w:r>
      <w:r w:rsidR="002753FB" w:rsidRPr="006633CD">
        <w:rPr>
          <w:rFonts w:ascii="Arial" w:hAnsi="Arial" w:cs="Arial"/>
          <w:sz w:val="22"/>
          <w:szCs w:val="22"/>
        </w:rPr>
        <w:t>ústavní nebo ochranné výchovy nebo školského zařízení pro preventivní výchovnou péči na základě rozhodnutí soudu nebo smlouvy,</w:t>
      </w:r>
    </w:p>
    <w:p w14:paraId="06D79154" w14:textId="595A5475" w:rsidR="006633CD" w:rsidRDefault="006633CD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</w:t>
      </w:r>
      <w:r w:rsidR="002753FB" w:rsidRPr="006633CD">
        <w:rPr>
          <w:rFonts w:ascii="Arial" w:hAnsi="Arial" w:cs="Arial"/>
          <w:sz w:val="22"/>
          <w:szCs w:val="22"/>
        </w:rPr>
        <w:t xml:space="preserve">umístěna do zařízení pro děti vyžadující okamžitou pomoc na základě rozhodnutí soudu, na žádost obecního úřadu obce s rozšířenou působností, zákonného zástupce dítěte nebo nezletilého, </w:t>
      </w:r>
    </w:p>
    <w:p w14:paraId="388E97E2" w14:textId="77777777" w:rsidR="006633CD" w:rsidRDefault="006633CD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2753FB" w:rsidRPr="006633CD">
        <w:rPr>
          <w:rFonts w:ascii="Arial" w:hAnsi="Arial" w:cs="Arial"/>
          <w:sz w:val="22"/>
          <w:szCs w:val="22"/>
        </w:rPr>
        <w:t>umístěna v domově pro osoby se zdravotním postižením, domově pro seniory, domově se zvláštním režimem nebo chráněné</w:t>
      </w:r>
      <w:r w:rsidR="00DB1624" w:rsidRPr="006633CD">
        <w:rPr>
          <w:rFonts w:ascii="Arial" w:hAnsi="Arial" w:cs="Arial"/>
          <w:sz w:val="22"/>
          <w:szCs w:val="22"/>
        </w:rPr>
        <w:t>m bydlení.</w:t>
      </w:r>
    </w:p>
    <w:p w14:paraId="11786B41" w14:textId="6AC63316" w:rsidR="006633CD" w:rsidRPr="006633CD" w:rsidRDefault="00DB1624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6633CD">
        <w:rPr>
          <w:rFonts w:ascii="Arial" w:hAnsi="Arial" w:cs="Arial"/>
          <w:sz w:val="22"/>
          <w:szCs w:val="22"/>
        </w:rPr>
        <w:t>(2) Od poplatku se osvobozují:</w:t>
      </w:r>
    </w:p>
    <w:p w14:paraId="75814E31" w14:textId="77777777" w:rsidR="006633CD" w:rsidRDefault="006633CD" w:rsidP="00674FFF">
      <w:pPr>
        <w:spacing w:line="312" w:lineRule="auto"/>
        <w:rPr>
          <w:rFonts w:ascii="Arial" w:hAnsi="Arial" w:cs="Arial"/>
          <w:sz w:val="22"/>
          <w:szCs w:val="22"/>
        </w:rPr>
      </w:pPr>
      <w:r w:rsidRPr="006633C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a) </w:t>
      </w:r>
      <w:r w:rsidR="00DB1624" w:rsidRPr="006633CD">
        <w:rPr>
          <w:rFonts w:ascii="Arial" w:hAnsi="Arial" w:cs="Arial"/>
          <w:sz w:val="22"/>
          <w:szCs w:val="22"/>
        </w:rPr>
        <w:t xml:space="preserve">děti ve věku </w:t>
      </w:r>
      <w:proofErr w:type="gramStart"/>
      <w:r w:rsidR="00DB1624" w:rsidRPr="006633CD">
        <w:rPr>
          <w:rFonts w:ascii="Arial" w:hAnsi="Arial" w:cs="Arial"/>
          <w:sz w:val="22"/>
          <w:szCs w:val="22"/>
        </w:rPr>
        <w:t>0 – 15</w:t>
      </w:r>
      <w:proofErr w:type="gramEnd"/>
      <w:r w:rsidR="00DB1624" w:rsidRPr="006633CD">
        <w:rPr>
          <w:rFonts w:ascii="Arial" w:hAnsi="Arial" w:cs="Arial"/>
          <w:sz w:val="22"/>
          <w:szCs w:val="22"/>
        </w:rPr>
        <w:t xml:space="preserve"> let</w:t>
      </w:r>
    </w:p>
    <w:p w14:paraId="5038C3EB" w14:textId="77777777" w:rsidR="006633CD" w:rsidRPr="006633CD" w:rsidRDefault="006633CD" w:rsidP="00674FFF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</w:t>
      </w:r>
      <w:r w:rsidRPr="006633CD">
        <w:rPr>
          <w:rFonts w:ascii="Arial" w:hAnsi="Arial" w:cs="Arial"/>
          <w:sz w:val="22"/>
          <w:szCs w:val="22"/>
        </w:rPr>
        <w:t xml:space="preserve">) </w:t>
      </w:r>
      <w:r w:rsidR="00DB1624" w:rsidRPr="006633CD">
        <w:rPr>
          <w:rFonts w:ascii="Arial" w:hAnsi="Arial" w:cs="Arial"/>
          <w:sz w:val="22"/>
          <w:szCs w:val="22"/>
        </w:rPr>
        <w:t>senioři starší 65 roků včetně</w:t>
      </w:r>
    </w:p>
    <w:p w14:paraId="3C85A7CD" w14:textId="77777777" w:rsidR="006633CD" w:rsidRDefault="00DB1624" w:rsidP="006633CD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6633CD">
        <w:rPr>
          <w:rFonts w:ascii="Arial" w:hAnsi="Arial" w:cs="Arial"/>
          <w:sz w:val="22"/>
          <w:szCs w:val="22"/>
        </w:rPr>
        <w:t>(3)     Úleva se poskytuje:</w:t>
      </w:r>
    </w:p>
    <w:p w14:paraId="7D08C6A8" w14:textId="77777777" w:rsidR="006633CD" w:rsidRPr="006633CD" w:rsidRDefault="006633CD" w:rsidP="00674FFF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a) </w:t>
      </w:r>
      <w:r w:rsidR="00DB1624" w:rsidRPr="006633CD">
        <w:rPr>
          <w:rFonts w:ascii="Arial" w:hAnsi="Arial" w:cs="Arial"/>
          <w:sz w:val="22"/>
          <w:szCs w:val="22"/>
        </w:rPr>
        <w:t>děti                    ve výši 500,- Kč</w:t>
      </w:r>
    </w:p>
    <w:p w14:paraId="38101E4B" w14:textId="77777777" w:rsidR="006633CD" w:rsidRDefault="006633CD" w:rsidP="00674FFF">
      <w:pPr>
        <w:spacing w:line="312" w:lineRule="auto"/>
        <w:rPr>
          <w:rFonts w:ascii="Arial" w:hAnsi="Arial" w:cs="Arial"/>
          <w:sz w:val="22"/>
          <w:szCs w:val="22"/>
        </w:rPr>
      </w:pPr>
      <w:r w:rsidRPr="006633CD">
        <w:rPr>
          <w:rFonts w:ascii="Arial" w:hAnsi="Arial" w:cs="Arial"/>
          <w:sz w:val="22"/>
          <w:szCs w:val="22"/>
        </w:rPr>
        <w:t xml:space="preserve">      b) </w:t>
      </w:r>
      <w:r w:rsidR="00DB1624" w:rsidRPr="006633CD">
        <w:rPr>
          <w:rFonts w:ascii="Arial" w:hAnsi="Arial" w:cs="Arial"/>
          <w:sz w:val="22"/>
          <w:szCs w:val="22"/>
        </w:rPr>
        <w:t>senioři               ve výši 500,- Kč</w:t>
      </w:r>
    </w:p>
    <w:p w14:paraId="563F7694" w14:textId="77777777" w:rsidR="00FC0592" w:rsidRDefault="00DB1624" w:rsidP="00FC0592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0592">
        <w:rPr>
          <w:rFonts w:ascii="Arial" w:hAnsi="Arial" w:cs="Arial"/>
          <w:sz w:val="22"/>
          <w:szCs w:val="22"/>
        </w:rPr>
        <w:t xml:space="preserve">(4) Údaj rozhodný pro osvobození nebo úlevu dle odst. 1 písm. a, b, c tohoto článku </w:t>
      </w:r>
      <w:r w:rsidR="00FC0592" w:rsidRPr="00FC0592">
        <w:rPr>
          <w:rFonts w:ascii="Arial" w:hAnsi="Arial" w:cs="Arial"/>
          <w:sz w:val="22"/>
          <w:szCs w:val="22"/>
        </w:rPr>
        <w:t xml:space="preserve">  </w:t>
      </w:r>
      <w:r w:rsidRPr="00FC0592">
        <w:rPr>
          <w:rFonts w:ascii="Arial" w:hAnsi="Arial" w:cs="Arial"/>
          <w:sz w:val="22"/>
          <w:szCs w:val="22"/>
        </w:rPr>
        <w:t xml:space="preserve">je </w:t>
      </w:r>
      <w:r w:rsidR="00FC0592" w:rsidRPr="00FC0592">
        <w:rPr>
          <w:rFonts w:ascii="Arial" w:hAnsi="Arial" w:cs="Arial"/>
          <w:sz w:val="22"/>
          <w:szCs w:val="22"/>
        </w:rPr>
        <w:t>p</w:t>
      </w:r>
      <w:r w:rsidRPr="00FC0592">
        <w:rPr>
          <w:rFonts w:ascii="Arial" w:hAnsi="Arial" w:cs="Arial"/>
          <w:sz w:val="22"/>
          <w:szCs w:val="22"/>
        </w:rPr>
        <w:t>oplatník povinen ohlásit ve lhůtě do 31.1. kalendářního roku.</w:t>
      </w:r>
    </w:p>
    <w:p w14:paraId="3F647D84" w14:textId="77777777" w:rsidR="00FC0592" w:rsidRDefault="00DB1624" w:rsidP="00FC0592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0592">
        <w:rPr>
          <w:rFonts w:ascii="Arial" w:hAnsi="Arial" w:cs="Arial"/>
          <w:sz w:val="22"/>
          <w:szCs w:val="22"/>
        </w:rPr>
        <w:t>(5) V případě, že poplatník nesplní povinnost ohlásit údaj rozhodný pro osvobození nebo úlevu ve lhůtách stanovených vyhláškou nebo zákonem, nárok na osvobození nebo</w:t>
      </w:r>
      <w:r w:rsidR="00FC0592">
        <w:rPr>
          <w:rFonts w:ascii="Arial" w:hAnsi="Arial" w:cs="Arial"/>
          <w:sz w:val="22"/>
          <w:szCs w:val="22"/>
        </w:rPr>
        <w:t xml:space="preserve"> </w:t>
      </w:r>
      <w:r w:rsidRPr="00FC0592">
        <w:rPr>
          <w:rFonts w:ascii="Arial" w:hAnsi="Arial" w:cs="Arial"/>
          <w:sz w:val="22"/>
          <w:szCs w:val="22"/>
        </w:rPr>
        <w:t>úlevu zanik</w:t>
      </w:r>
      <w:r w:rsidR="00FC0592">
        <w:rPr>
          <w:rFonts w:ascii="Arial" w:hAnsi="Arial" w:cs="Arial"/>
          <w:sz w:val="22"/>
          <w:szCs w:val="22"/>
        </w:rPr>
        <w:t>á.</w:t>
      </w:r>
    </w:p>
    <w:p w14:paraId="3C268AD1" w14:textId="0924665C" w:rsidR="00FC0592" w:rsidRPr="00FC0592" w:rsidRDefault="00FC0592" w:rsidP="00FC0592">
      <w:pPr>
        <w:spacing w:before="12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7</w:t>
      </w:r>
    </w:p>
    <w:p w14:paraId="616B78CC" w14:textId="77777777" w:rsidR="00FC0592" w:rsidRDefault="00DB1624" w:rsidP="00FC0592">
      <w:pPr>
        <w:spacing w:before="120" w:line="312" w:lineRule="auto"/>
        <w:jc w:val="center"/>
        <w:rPr>
          <w:rFonts w:ascii="Arial" w:hAnsi="Arial" w:cs="Arial"/>
          <w:b/>
          <w:bCs/>
        </w:rPr>
      </w:pPr>
      <w:r w:rsidRPr="00FC0592">
        <w:rPr>
          <w:rFonts w:ascii="Arial" w:hAnsi="Arial" w:cs="Arial"/>
          <w:b/>
          <w:bCs/>
        </w:rPr>
        <w:t>Navýšení poplatku</w:t>
      </w:r>
    </w:p>
    <w:p w14:paraId="2AD1A602" w14:textId="77777777" w:rsidR="00FC0592" w:rsidRDefault="00DB1624" w:rsidP="00FC0592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0592">
        <w:rPr>
          <w:rFonts w:ascii="Arial" w:hAnsi="Arial" w:cs="Arial"/>
          <w:sz w:val="22"/>
          <w:szCs w:val="22"/>
        </w:rPr>
        <w:t>(1)   Nebudou-li poplatky zaplaceny poplatníkem včas nebo ve správné výši, vyměří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C0592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C059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C0592">
        <w:rPr>
          <w:rFonts w:ascii="Arial" w:hAnsi="Arial" w:cs="Arial"/>
          <w:sz w:val="22"/>
          <w:szCs w:val="22"/>
        </w:rPr>
        <w:t>správce poplatku poplatek platebním výměrem nebo hromadným předpisným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C0592">
        <w:rPr>
          <w:rFonts w:ascii="Arial" w:hAnsi="Arial" w:cs="Arial"/>
          <w:sz w:val="22"/>
          <w:szCs w:val="22"/>
        </w:rPr>
        <w:t>sezname</w:t>
      </w:r>
      <w:r w:rsidR="00FC0592">
        <w:rPr>
          <w:rFonts w:ascii="Arial" w:hAnsi="Arial" w:cs="Arial"/>
          <w:sz w:val="22"/>
          <w:szCs w:val="22"/>
        </w:rPr>
        <w:t>m.</w:t>
      </w:r>
    </w:p>
    <w:p w14:paraId="23D2B55E" w14:textId="290D3BA3" w:rsidR="00C96778" w:rsidRPr="00FC0592" w:rsidRDefault="00DB1624" w:rsidP="00FC0592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0592">
        <w:rPr>
          <w:rFonts w:ascii="Arial" w:hAnsi="Arial" w:cs="Arial"/>
          <w:sz w:val="22"/>
          <w:szCs w:val="22"/>
        </w:rPr>
        <w:t xml:space="preserve">(2)   Včas nezaplacené nebo neodvedené poplatky nebo část těchto poplatků může </w:t>
      </w:r>
      <w:proofErr w:type="spellStart"/>
      <w:r w:rsidRPr="00FC0592">
        <w:rPr>
          <w:rFonts w:ascii="Arial" w:hAnsi="Arial" w:cs="Arial"/>
          <w:sz w:val="22"/>
          <w:szCs w:val="22"/>
        </w:rPr>
        <w:t>správc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C0592">
        <w:rPr>
          <w:rFonts w:ascii="Arial" w:hAnsi="Arial" w:cs="Arial"/>
          <w:sz w:val="22"/>
          <w:szCs w:val="22"/>
        </w:rPr>
        <w:t>Poplatku zvýšit až na trojnásobek</w:t>
      </w:r>
      <w:r w:rsidR="00C96778" w:rsidRPr="00FC0592">
        <w:rPr>
          <w:rFonts w:ascii="Arial" w:hAnsi="Arial" w:cs="Arial"/>
          <w:sz w:val="22"/>
          <w:szCs w:val="22"/>
        </w:rPr>
        <w:t>; toto zvýšení je příslušenstvím poplatku.</w:t>
      </w:r>
    </w:p>
    <w:p w14:paraId="2E0DF104" w14:textId="77777777" w:rsidR="00C96778" w:rsidRDefault="00C96778" w:rsidP="00DB1624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E5FA0D4" w14:textId="61F8D7B5" w:rsidR="00131160" w:rsidRPr="00FC0592" w:rsidRDefault="006F616E" w:rsidP="00FC0592">
      <w:pPr>
        <w:pStyle w:val="Nzvylnk"/>
        <w:spacing w:before="0" w:after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</w:rPr>
        <w:t xml:space="preserve">Čl. </w:t>
      </w:r>
      <w:r w:rsidR="00C96778">
        <w:rPr>
          <w:rFonts w:ascii="Arial" w:hAnsi="Arial" w:cs="Arial"/>
        </w:rPr>
        <w:t>8</w:t>
      </w:r>
    </w:p>
    <w:p w14:paraId="15A9C1EE" w14:textId="50A5EF7B" w:rsidR="009B3D7F" w:rsidRDefault="00C96778" w:rsidP="00C96778">
      <w:pPr>
        <w:pStyle w:val="Nzvy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14:paraId="7A449B01" w14:textId="77777777" w:rsidR="00C96778" w:rsidRDefault="00C96778" w:rsidP="00C96778">
      <w:pPr>
        <w:pStyle w:val="Nzvylnk"/>
        <w:spacing w:before="0" w:after="0"/>
        <w:rPr>
          <w:rFonts w:ascii="Arial" w:hAnsi="Arial" w:cs="Arial"/>
        </w:rPr>
      </w:pPr>
    </w:p>
    <w:p w14:paraId="2B7E6895" w14:textId="6AA0E280" w:rsidR="00C96778" w:rsidRDefault="00C96778" w:rsidP="00C96778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(1) Vznikne-li nedoplatek na popletku poplatníkovi, který je ke dni splatnosti nezletilý</w:t>
      </w:r>
    </w:p>
    <w:p w14:paraId="59CF5373" w14:textId="3DF27D2C" w:rsidR="00C96778" w:rsidRDefault="00C96778" w:rsidP="00C96778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a nenabyl plné svéprávnosti nebo který je ke dni splatnosti omezen ve svéprávnosti</w:t>
      </w:r>
    </w:p>
    <w:p w14:paraId="4247CFF6" w14:textId="1F49C787" w:rsidR="00C96778" w:rsidRDefault="00C96778" w:rsidP="00C96778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a byl mu jmenován opatrovník spravující jeho jmění, přechází poplatková povinnost</w:t>
      </w:r>
    </w:p>
    <w:p w14:paraId="5F76849E" w14:textId="6C7EBC25" w:rsidR="00C96778" w:rsidRDefault="00C96778" w:rsidP="00C96778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tohoto poplatníka na zákonného zástupce nebo tohoto opatrovníka; zákonný zástupce</w:t>
      </w:r>
    </w:p>
    <w:p w14:paraId="35B7DEDB" w14:textId="2FB64081" w:rsidR="00C96778" w:rsidRDefault="00C96778" w:rsidP="00C96778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nebo opatrovník má stejné procesní postavení jako poplatník.</w:t>
      </w:r>
    </w:p>
    <w:p w14:paraId="7C392CC5" w14:textId="77777777" w:rsidR="00C96778" w:rsidRDefault="00C96778" w:rsidP="00C96778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D6F20A7" w14:textId="5C30FCAB" w:rsidR="00C96778" w:rsidRDefault="00C96778" w:rsidP="00C96778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(2)  </w:t>
      </w:r>
      <w:r w:rsidR="006633CD">
        <w:rPr>
          <w:rFonts w:ascii="Arial" w:hAnsi="Arial" w:cs="Arial"/>
          <w:b w:val="0"/>
          <w:bCs w:val="0"/>
          <w:sz w:val="22"/>
          <w:szCs w:val="22"/>
        </w:rPr>
        <w:t>V případě podle odst. 1 vyměří</w:t>
      </w:r>
      <w:r w:rsidR="00FC0592">
        <w:rPr>
          <w:rFonts w:ascii="Arial" w:hAnsi="Arial" w:cs="Arial"/>
          <w:b w:val="0"/>
          <w:bCs w:val="0"/>
          <w:sz w:val="22"/>
          <w:szCs w:val="22"/>
        </w:rPr>
        <w:t xml:space="preserve"> správce poplatku poplatek zákonnému zástupci nebo</w:t>
      </w:r>
    </w:p>
    <w:p w14:paraId="02452842" w14:textId="14DEBD46" w:rsidR="00C96778" w:rsidRDefault="00FC0592" w:rsidP="00FC0592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opatrovníkovi poplatníka.</w:t>
      </w:r>
    </w:p>
    <w:p w14:paraId="3C60BCDB" w14:textId="2988AC10" w:rsidR="00FC0592" w:rsidRDefault="00FC0592" w:rsidP="00FC0592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(3)  Je-li zákonných zástupců nebo opatrovníků více, jsou povinni plnit poplatkovou</w:t>
      </w:r>
    </w:p>
    <w:p w14:paraId="09C50DCF" w14:textId="688DC1B5" w:rsidR="00FC0592" w:rsidRPr="00FC0592" w:rsidRDefault="00FC0592" w:rsidP="00FC0592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povinnost společně a nerozdílně.</w:t>
      </w:r>
    </w:p>
    <w:p w14:paraId="7C55BAB1" w14:textId="654805A6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FC0592">
        <w:rPr>
          <w:rFonts w:ascii="Arial" w:hAnsi="Arial" w:cs="Arial"/>
        </w:rPr>
        <w:t>9</w:t>
      </w:r>
    </w:p>
    <w:p w14:paraId="7FE810DB" w14:textId="04BBCD62" w:rsidR="00F71057" w:rsidRPr="002E0EAD" w:rsidRDefault="00FC0592" w:rsidP="00FC059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a zrušovací ustanovení</w:t>
      </w:r>
    </w:p>
    <w:p w14:paraId="04DBABCE" w14:textId="0ACEDBD0" w:rsidR="00F71057" w:rsidRDefault="00FC0592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>
        <w:rPr>
          <w:rStyle w:val="Znakapoznpodarou"/>
          <w:rFonts w:ascii="Arial" w:hAnsi="Arial" w:cs="Arial"/>
          <w:sz w:val="22"/>
          <w:szCs w:val="22"/>
          <w:vertAlign w:val="baseline"/>
        </w:rPr>
        <w:t>1/2021 ze dne x</w:t>
      </w:r>
      <w:r>
        <w:rPr>
          <w:rFonts w:ascii="Arial" w:hAnsi="Arial" w:cs="Arial"/>
          <w:sz w:val="22"/>
          <w:szCs w:val="22"/>
        </w:rPr>
        <w:t xml:space="preserve">x.xx.2021 </w:t>
      </w:r>
    </w:p>
    <w:p w14:paraId="1905A6B8" w14:textId="136F5EF3" w:rsidR="00FC0592" w:rsidRDefault="00FC0592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 podle dosavadních právních předpisů</w:t>
      </w:r>
    </w:p>
    <w:p w14:paraId="03730666" w14:textId="77777777" w:rsidR="00F71057" w:rsidRPr="002D0615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EC9201D" w14:textId="2F0F78EB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6F616E">
        <w:rPr>
          <w:rFonts w:ascii="Arial" w:hAnsi="Arial" w:cs="Arial"/>
        </w:rPr>
        <w:t>1</w:t>
      </w:r>
    </w:p>
    <w:p w14:paraId="34E1E70E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969DAED" w14:textId="08CC8EC3" w:rsidR="008D6906" w:rsidRPr="002E0EAD" w:rsidRDefault="00F71057" w:rsidP="00F71057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14:paraId="4D00A3F1" w14:textId="09B16469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EE657B">
        <w:rPr>
          <w:rFonts w:ascii="Arial" w:hAnsi="Arial" w:cs="Arial"/>
          <w:sz w:val="22"/>
          <w:szCs w:val="22"/>
        </w:rPr>
        <w:t>1.1.202</w:t>
      </w:r>
      <w:r w:rsidR="007504C2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C9E3955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8C06691" w14:textId="349CD545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582B7662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6695FCD" w14:textId="013C44C4" w:rsidR="00131160" w:rsidRPr="002E0EAD" w:rsidRDefault="00A10C9F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7504C2">
        <w:rPr>
          <w:rFonts w:ascii="Arial" w:hAnsi="Arial" w:cs="Arial"/>
          <w:sz w:val="22"/>
          <w:szCs w:val="22"/>
        </w:rPr>
        <w:t>Radek Poduška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7504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Tomáš Salač</w:t>
      </w:r>
      <w:r w:rsidR="00CC03F3">
        <w:rPr>
          <w:rFonts w:ascii="Arial" w:hAnsi="Arial" w:cs="Arial"/>
          <w:sz w:val="22"/>
          <w:szCs w:val="22"/>
        </w:rPr>
        <w:t xml:space="preserve">  </w:t>
      </w:r>
    </w:p>
    <w:p w14:paraId="638CF8E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23600C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F8A6950" w14:textId="3452DABE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99E708E" w14:textId="7E50E700" w:rsidR="00680E7A" w:rsidRDefault="00680E7A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DE9F9A5" w14:textId="77777777" w:rsidR="00CC03F3" w:rsidRDefault="00CC03F3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BF70C2A" w14:textId="45666839"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896068">
        <w:rPr>
          <w:rFonts w:ascii="Arial" w:hAnsi="Arial" w:cs="Arial"/>
          <w:sz w:val="22"/>
          <w:szCs w:val="22"/>
        </w:rPr>
        <w:t xml:space="preserve"> </w:t>
      </w:r>
      <w:r w:rsidR="007504C2">
        <w:rPr>
          <w:rFonts w:ascii="Arial" w:hAnsi="Arial" w:cs="Arial"/>
          <w:sz w:val="22"/>
          <w:szCs w:val="22"/>
        </w:rPr>
        <w:t>xx.5</w:t>
      </w:r>
      <w:r w:rsidR="00896068">
        <w:rPr>
          <w:rFonts w:ascii="Arial" w:hAnsi="Arial" w:cs="Arial"/>
          <w:sz w:val="22"/>
          <w:szCs w:val="22"/>
        </w:rPr>
        <w:t>.202</w:t>
      </w:r>
      <w:r w:rsidR="007504C2">
        <w:rPr>
          <w:rFonts w:ascii="Arial" w:hAnsi="Arial" w:cs="Arial"/>
          <w:sz w:val="22"/>
          <w:szCs w:val="22"/>
        </w:rPr>
        <w:t>3</w:t>
      </w:r>
    </w:p>
    <w:p w14:paraId="286D0490" w14:textId="77777777" w:rsidR="00680E7A" w:rsidRPr="002E0EAD" w:rsidRDefault="00680E7A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F9A6287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7912" w14:textId="77777777" w:rsidR="00EC0A22" w:rsidRDefault="00EC0A22">
      <w:r>
        <w:separator/>
      </w:r>
    </w:p>
  </w:endnote>
  <w:endnote w:type="continuationSeparator" w:id="0">
    <w:p w14:paraId="43531C0D" w14:textId="77777777" w:rsidR="00EC0A22" w:rsidRDefault="00EC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BDCF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0663">
      <w:rPr>
        <w:noProof/>
      </w:rPr>
      <w:t>4</w:t>
    </w:r>
    <w:r>
      <w:fldChar w:fldCharType="end"/>
    </w:r>
  </w:p>
  <w:p w14:paraId="2ADB6EC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D1A0" w14:textId="77777777" w:rsidR="00EC0A22" w:rsidRDefault="00EC0A22">
      <w:r>
        <w:separator/>
      </w:r>
    </w:p>
  </w:footnote>
  <w:footnote w:type="continuationSeparator" w:id="0">
    <w:p w14:paraId="196CA310" w14:textId="77777777" w:rsidR="00EC0A22" w:rsidRDefault="00EC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27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22583D"/>
    <w:multiLevelType w:val="hybridMultilevel"/>
    <w:tmpl w:val="51E4E71E"/>
    <w:lvl w:ilvl="0" w:tplc="FFFFFFFF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7639B7"/>
    <w:multiLevelType w:val="multilevel"/>
    <w:tmpl w:val="CA0A75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CE8651B"/>
    <w:multiLevelType w:val="hybridMultilevel"/>
    <w:tmpl w:val="FC641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77C27"/>
    <w:multiLevelType w:val="hybridMultilevel"/>
    <w:tmpl w:val="EBE43732"/>
    <w:lvl w:ilvl="0" w:tplc="04050017">
      <w:start w:val="1"/>
      <w:numFmt w:val="lowerLetter"/>
      <w:lvlText w:val="%1)"/>
      <w:lvlJc w:val="left"/>
      <w:pPr>
        <w:ind w:left="53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2" w:hanging="360"/>
      </w:pPr>
    </w:lvl>
    <w:lvl w:ilvl="2" w:tplc="0405001B" w:tentative="1">
      <w:start w:val="1"/>
      <w:numFmt w:val="lowerRoman"/>
      <w:lvlText w:val="%3."/>
      <w:lvlJc w:val="right"/>
      <w:pPr>
        <w:ind w:left="6192" w:hanging="180"/>
      </w:pPr>
    </w:lvl>
    <w:lvl w:ilvl="3" w:tplc="0405000F" w:tentative="1">
      <w:start w:val="1"/>
      <w:numFmt w:val="decimal"/>
      <w:lvlText w:val="%4."/>
      <w:lvlJc w:val="left"/>
      <w:pPr>
        <w:ind w:left="6912" w:hanging="360"/>
      </w:pPr>
    </w:lvl>
    <w:lvl w:ilvl="4" w:tplc="04050019" w:tentative="1">
      <w:start w:val="1"/>
      <w:numFmt w:val="lowerLetter"/>
      <w:lvlText w:val="%5."/>
      <w:lvlJc w:val="left"/>
      <w:pPr>
        <w:ind w:left="7632" w:hanging="360"/>
      </w:pPr>
    </w:lvl>
    <w:lvl w:ilvl="5" w:tplc="0405001B" w:tentative="1">
      <w:start w:val="1"/>
      <w:numFmt w:val="lowerRoman"/>
      <w:lvlText w:val="%6."/>
      <w:lvlJc w:val="right"/>
      <w:pPr>
        <w:ind w:left="8352" w:hanging="180"/>
      </w:pPr>
    </w:lvl>
    <w:lvl w:ilvl="6" w:tplc="0405000F" w:tentative="1">
      <w:start w:val="1"/>
      <w:numFmt w:val="decimal"/>
      <w:lvlText w:val="%7."/>
      <w:lvlJc w:val="left"/>
      <w:pPr>
        <w:ind w:left="9072" w:hanging="360"/>
      </w:pPr>
    </w:lvl>
    <w:lvl w:ilvl="7" w:tplc="04050019" w:tentative="1">
      <w:start w:val="1"/>
      <w:numFmt w:val="lowerLetter"/>
      <w:lvlText w:val="%8."/>
      <w:lvlJc w:val="left"/>
      <w:pPr>
        <w:ind w:left="9792" w:hanging="360"/>
      </w:pPr>
    </w:lvl>
    <w:lvl w:ilvl="8" w:tplc="0405001B" w:tentative="1">
      <w:start w:val="1"/>
      <w:numFmt w:val="lowerRoman"/>
      <w:lvlText w:val="%9."/>
      <w:lvlJc w:val="right"/>
      <w:pPr>
        <w:ind w:left="10512" w:hanging="180"/>
      </w:pPr>
    </w:lvl>
  </w:abstractNum>
  <w:abstractNum w:abstractNumId="9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9B25AD0"/>
    <w:multiLevelType w:val="hybridMultilevel"/>
    <w:tmpl w:val="C062F1F8"/>
    <w:lvl w:ilvl="0" w:tplc="FFFFFFFF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8CD3DEE"/>
    <w:multiLevelType w:val="hybridMultilevel"/>
    <w:tmpl w:val="0FAED5E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D00FEB"/>
    <w:multiLevelType w:val="hybridMultilevel"/>
    <w:tmpl w:val="9446C082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F055409"/>
    <w:multiLevelType w:val="hybridMultilevel"/>
    <w:tmpl w:val="6E2E7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3FC65EB"/>
    <w:multiLevelType w:val="hybridMultilevel"/>
    <w:tmpl w:val="1D745BB6"/>
    <w:lvl w:ilvl="0" w:tplc="FFFFFFFF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E1A1140"/>
    <w:multiLevelType w:val="hybridMultilevel"/>
    <w:tmpl w:val="BB88C588"/>
    <w:lvl w:ilvl="0" w:tplc="FFFFFFFF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3211"/>
    <w:multiLevelType w:val="hybridMultilevel"/>
    <w:tmpl w:val="B9F46D3A"/>
    <w:lvl w:ilvl="0" w:tplc="AEA6AD0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BCB34CE"/>
    <w:multiLevelType w:val="hybridMultilevel"/>
    <w:tmpl w:val="0E4864EA"/>
    <w:lvl w:ilvl="0" w:tplc="FFFFFFFF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1674B73"/>
    <w:multiLevelType w:val="hybridMultilevel"/>
    <w:tmpl w:val="8FC28B7C"/>
    <w:lvl w:ilvl="0" w:tplc="04050011">
      <w:start w:val="1"/>
      <w:numFmt w:val="decimal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91825448">
    <w:abstractNumId w:val="25"/>
  </w:num>
  <w:num w:numId="2" w16cid:durableId="703755569">
    <w:abstractNumId w:val="15"/>
  </w:num>
  <w:num w:numId="3" w16cid:durableId="1981882411">
    <w:abstractNumId w:val="34"/>
  </w:num>
  <w:num w:numId="4" w16cid:durableId="1202088457">
    <w:abstractNumId w:val="17"/>
  </w:num>
  <w:num w:numId="5" w16cid:durableId="1647279945">
    <w:abstractNumId w:val="12"/>
  </w:num>
  <w:num w:numId="6" w16cid:durableId="1742367920">
    <w:abstractNumId w:val="40"/>
  </w:num>
  <w:num w:numId="7" w16cid:durableId="678505508">
    <w:abstractNumId w:val="21"/>
  </w:num>
  <w:num w:numId="8" w16cid:durableId="1089765359">
    <w:abstractNumId w:val="22"/>
  </w:num>
  <w:num w:numId="9" w16cid:durableId="1001589754">
    <w:abstractNumId w:val="19"/>
  </w:num>
  <w:num w:numId="10" w16cid:durableId="1722173834">
    <w:abstractNumId w:val="2"/>
  </w:num>
  <w:num w:numId="11" w16cid:durableId="1139374849">
    <w:abstractNumId w:val="18"/>
  </w:num>
  <w:num w:numId="12" w16cid:durableId="1733625858">
    <w:abstractNumId w:val="14"/>
  </w:num>
  <w:num w:numId="13" w16cid:durableId="37365291">
    <w:abstractNumId w:val="32"/>
  </w:num>
  <w:num w:numId="14" w16cid:durableId="319119073">
    <w:abstractNumId w:val="39"/>
  </w:num>
  <w:num w:numId="15" w16cid:durableId="15620109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91180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367055">
    <w:abstractNumId w:val="37"/>
  </w:num>
  <w:num w:numId="18" w16cid:durableId="2050032634">
    <w:abstractNumId w:val="10"/>
  </w:num>
  <w:num w:numId="19" w16cid:durableId="410350662">
    <w:abstractNumId w:val="38"/>
  </w:num>
  <w:num w:numId="20" w16cid:durableId="292904071">
    <w:abstractNumId w:val="27"/>
  </w:num>
  <w:num w:numId="21" w16cid:durableId="1391998580">
    <w:abstractNumId w:val="35"/>
  </w:num>
  <w:num w:numId="22" w16cid:durableId="1297487849">
    <w:abstractNumId w:val="9"/>
  </w:num>
  <w:num w:numId="23" w16cid:durableId="271477513">
    <w:abstractNumId w:val="41"/>
  </w:num>
  <w:num w:numId="24" w16cid:durableId="169145130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1971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5332535">
    <w:abstractNumId w:val="33"/>
  </w:num>
  <w:num w:numId="27" w16cid:durableId="241067248">
    <w:abstractNumId w:val="31"/>
  </w:num>
  <w:num w:numId="28" w16cid:durableId="281806920">
    <w:abstractNumId w:val="4"/>
  </w:num>
  <w:num w:numId="29" w16cid:durableId="818040580">
    <w:abstractNumId w:val="29"/>
  </w:num>
  <w:num w:numId="30" w16cid:durableId="1182742453">
    <w:abstractNumId w:val="3"/>
  </w:num>
  <w:num w:numId="31" w16cid:durableId="1307662467">
    <w:abstractNumId w:val="26"/>
  </w:num>
  <w:num w:numId="32" w16cid:durableId="904610801">
    <w:abstractNumId w:val="23"/>
  </w:num>
  <w:num w:numId="33" w16cid:durableId="388265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0925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26978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748991">
    <w:abstractNumId w:val="13"/>
  </w:num>
  <w:num w:numId="37" w16cid:durableId="1480028383">
    <w:abstractNumId w:val="36"/>
  </w:num>
  <w:num w:numId="38" w16cid:durableId="2002925099">
    <w:abstractNumId w:val="30"/>
  </w:num>
  <w:num w:numId="39" w16cid:durableId="710573166">
    <w:abstractNumId w:val="11"/>
  </w:num>
  <w:num w:numId="40" w16cid:durableId="1892226779">
    <w:abstractNumId w:val="6"/>
  </w:num>
  <w:num w:numId="41" w16cid:durableId="1749032302">
    <w:abstractNumId w:val="5"/>
  </w:num>
  <w:num w:numId="42" w16cid:durableId="977494698">
    <w:abstractNumId w:val="20"/>
  </w:num>
  <w:num w:numId="43" w16cid:durableId="1857966320">
    <w:abstractNumId w:val="24"/>
  </w:num>
  <w:num w:numId="44" w16cid:durableId="1507091416">
    <w:abstractNumId w:val="8"/>
  </w:num>
  <w:num w:numId="45" w16cid:durableId="668562248">
    <w:abstractNumId w:val="28"/>
  </w:num>
  <w:num w:numId="46" w16cid:durableId="971637751">
    <w:abstractNumId w:val="16"/>
  </w:num>
  <w:num w:numId="47" w16cid:durableId="856584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26F60"/>
    <w:rsid w:val="000345D5"/>
    <w:rsid w:val="000408D0"/>
    <w:rsid w:val="00040EA6"/>
    <w:rsid w:val="000426EB"/>
    <w:rsid w:val="00051060"/>
    <w:rsid w:val="00053356"/>
    <w:rsid w:val="000538DD"/>
    <w:rsid w:val="00055626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3560"/>
    <w:rsid w:val="000C42D4"/>
    <w:rsid w:val="000C7313"/>
    <w:rsid w:val="000C758D"/>
    <w:rsid w:val="000D0606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5CFD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3857"/>
    <w:rsid w:val="00215AA7"/>
    <w:rsid w:val="00233230"/>
    <w:rsid w:val="002333C1"/>
    <w:rsid w:val="0024485C"/>
    <w:rsid w:val="0025107F"/>
    <w:rsid w:val="00260886"/>
    <w:rsid w:val="00264B52"/>
    <w:rsid w:val="00264E4B"/>
    <w:rsid w:val="002666C2"/>
    <w:rsid w:val="00266DAC"/>
    <w:rsid w:val="002753FB"/>
    <w:rsid w:val="0027609E"/>
    <w:rsid w:val="00276815"/>
    <w:rsid w:val="002871C2"/>
    <w:rsid w:val="002A3A42"/>
    <w:rsid w:val="002C0C5C"/>
    <w:rsid w:val="002C307D"/>
    <w:rsid w:val="002C3721"/>
    <w:rsid w:val="002D0615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72B5C"/>
    <w:rsid w:val="00383E0E"/>
    <w:rsid w:val="00384D76"/>
    <w:rsid w:val="0038599B"/>
    <w:rsid w:val="00386C96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94F"/>
    <w:rsid w:val="00504C32"/>
    <w:rsid w:val="005121C8"/>
    <w:rsid w:val="00515084"/>
    <w:rsid w:val="00515B3D"/>
    <w:rsid w:val="0053211A"/>
    <w:rsid w:val="00532775"/>
    <w:rsid w:val="00544927"/>
    <w:rsid w:val="00545904"/>
    <w:rsid w:val="00546241"/>
    <w:rsid w:val="00550C8C"/>
    <w:rsid w:val="00553575"/>
    <w:rsid w:val="0056206F"/>
    <w:rsid w:val="005620CD"/>
    <w:rsid w:val="005736D7"/>
    <w:rsid w:val="00576D09"/>
    <w:rsid w:val="005867F5"/>
    <w:rsid w:val="005A7A57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1FDA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33CD"/>
    <w:rsid w:val="006679FA"/>
    <w:rsid w:val="00672B37"/>
    <w:rsid w:val="0067325B"/>
    <w:rsid w:val="00674FFF"/>
    <w:rsid w:val="00675992"/>
    <w:rsid w:val="00680719"/>
    <w:rsid w:val="00680E7A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0663"/>
    <w:rsid w:val="00722383"/>
    <w:rsid w:val="0072736A"/>
    <w:rsid w:val="00732B10"/>
    <w:rsid w:val="0073417D"/>
    <w:rsid w:val="007342A5"/>
    <w:rsid w:val="00743081"/>
    <w:rsid w:val="0074717E"/>
    <w:rsid w:val="007504C2"/>
    <w:rsid w:val="0076252F"/>
    <w:rsid w:val="0076572C"/>
    <w:rsid w:val="00772922"/>
    <w:rsid w:val="007746D8"/>
    <w:rsid w:val="00776E64"/>
    <w:rsid w:val="007834F2"/>
    <w:rsid w:val="0079573C"/>
    <w:rsid w:val="007A37B3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390C"/>
    <w:rsid w:val="008560D9"/>
    <w:rsid w:val="00865258"/>
    <w:rsid w:val="00866409"/>
    <w:rsid w:val="008704BB"/>
    <w:rsid w:val="00877ACD"/>
    <w:rsid w:val="00880AB8"/>
    <w:rsid w:val="00886045"/>
    <w:rsid w:val="0088615E"/>
    <w:rsid w:val="00887D0F"/>
    <w:rsid w:val="00893CA0"/>
    <w:rsid w:val="00896068"/>
    <w:rsid w:val="00897430"/>
    <w:rsid w:val="008A2F12"/>
    <w:rsid w:val="008A34B4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D3B8B"/>
    <w:rsid w:val="009E0512"/>
    <w:rsid w:val="009E188F"/>
    <w:rsid w:val="009E26C9"/>
    <w:rsid w:val="009F3901"/>
    <w:rsid w:val="009F75C6"/>
    <w:rsid w:val="00A05EA6"/>
    <w:rsid w:val="00A10C9F"/>
    <w:rsid w:val="00A15124"/>
    <w:rsid w:val="00A2659B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2CF1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AF44CE"/>
    <w:rsid w:val="00B0176F"/>
    <w:rsid w:val="00B0476F"/>
    <w:rsid w:val="00B0696E"/>
    <w:rsid w:val="00B0781C"/>
    <w:rsid w:val="00B10E4F"/>
    <w:rsid w:val="00B17563"/>
    <w:rsid w:val="00B22F09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C4023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1EB3"/>
    <w:rsid w:val="00C92A60"/>
    <w:rsid w:val="00C94444"/>
    <w:rsid w:val="00C96778"/>
    <w:rsid w:val="00CA2EA1"/>
    <w:rsid w:val="00CC03F3"/>
    <w:rsid w:val="00CC0853"/>
    <w:rsid w:val="00CC382B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5F2F"/>
    <w:rsid w:val="00D5659B"/>
    <w:rsid w:val="00D57E6E"/>
    <w:rsid w:val="00D6303C"/>
    <w:rsid w:val="00D64083"/>
    <w:rsid w:val="00D727CA"/>
    <w:rsid w:val="00D738D7"/>
    <w:rsid w:val="00D91D9B"/>
    <w:rsid w:val="00D92F64"/>
    <w:rsid w:val="00DA30EB"/>
    <w:rsid w:val="00DA4795"/>
    <w:rsid w:val="00DA614B"/>
    <w:rsid w:val="00DB0904"/>
    <w:rsid w:val="00DB162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1261"/>
    <w:rsid w:val="00E419EA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A6A53"/>
    <w:rsid w:val="00EB27B9"/>
    <w:rsid w:val="00EB46BB"/>
    <w:rsid w:val="00EB523E"/>
    <w:rsid w:val="00EB693C"/>
    <w:rsid w:val="00EB7FA0"/>
    <w:rsid w:val="00EC0A22"/>
    <w:rsid w:val="00EC3687"/>
    <w:rsid w:val="00EE07B0"/>
    <w:rsid w:val="00EE28B9"/>
    <w:rsid w:val="00EE550B"/>
    <w:rsid w:val="00EE657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55FDC"/>
    <w:rsid w:val="00F700F8"/>
    <w:rsid w:val="00F71057"/>
    <w:rsid w:val="00F716C9"/>
    <w:rsid w:val="00F8166C"/>
    <w:rsid w:val="00F91DE1"/>
    <w:rsid w:val="00FB319D"/>
    <w:rsid w:val="00FB336E"/>
    <w:rsid w:val="00FB574C"/>
    <w:rsid w:val="00FC0592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742F2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C568-4756-46C9-BB54-90133F15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ES</cp:lastModifiedBy>
  <cp:revision>8</cp:revision>
  <cp:lastPrinted>2022-01-11T13:23:00Z</cp:lastPrinted>
  <dcterms:created xsi:type="dcterms:W3CDTF">2022-01-11T12:23:00Z</dcterms:created>
  <dcterms:modified xsi:type="dcterms:W3CDTF">2023-05-16T12:38:00Z</dcterms:modified>
</cp:coreProperties>
</file>